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3A565C" w:rsidRPr="009E4440" w:rsidRDefault="00D8041D" w:rsidP="00DF1070">
      <w:pPr>
        <w:spacing w:after="0" w:line="480" w:lineRule="auto"/>
        <w:contextualSpacing/>
        <w:jc w:val="center"/>
        <w:rPr>
          <w:rFonts w:ascii="Times New Roman" w:hAnsi="Times New Roman" w:cs="Times New Roman"/>
          <w:sz w:val="24"/>
          <w:szCs w:val="24"/>
        </w:rPr>
      </w:pPr>
      <w:r w:rsidRPr="009E4440">
        <w:rPr>
          <w:rFonts w:ascii="Times New Roman" w:hAnsi="Times New Roman" w:cs="Times New Roman"/>
          <w:sz w:val="24"/>
          <w:szCs w:val="24"/>
        </w:rPr>
        <w:t>Case Study Three</w:t>
      </w:r>
    </w:p>
    <w:p w:rsidR="00D8041D" w:rsidRPr="009E4440" w:rsidRDefault="00D8041D" w:rsidP="00DF1070">
      <w:pPr>
        <w:spacing w:after="0" w:line="480" w:lineRule="auto"/>
        <w:contextualSpacing/>
        <w:jc w:val="center"/>
        <w:rPr>
          <w:rFonts w:ascii="Times New Roman" w:hAnsi="Times New Roman" w:cs="Times New Roman"/>
          <w:sz w:val="24"/>
          <w:szCs w:val="24"/>
        </w:rPr>
      </w:pPr>
      <w:r w:rsidRPr="009E4440">
        <w:rPr>
          <w:rFonts w:ascii="Times New Roman" w:hAnsi="Times New Roman" w:cs="Times New Roman"/>
          <w:sz w:val="24"/>
          <w:szCs w:val="24"/>
        </w:rPr>
        <w:t>Name</w:t>
      </w:r>
    </w:p>
    <w:p w:rsidR="00D8041D" w:rsidRPr="009E4440" w:rsidRDefault="00D8041D" w:rsidP="00DF1070">
      <w:pPr>
        <w:spacing w:after="0" w:line="480" w:lineRule="auto"/>
        <w:contextualSpacing/>
        <w:jc w:val="center"/>
        <w:rPr>
          <w:rFonts w:ascii="Times New Roman" w:hAnsi="Times New Roman" w:cs="Times New Roman"/>
          <w:sz w:val="24"/>
          <w:szCs w:val="24"/>
        </w:rPr>
      </w:pPr>
      <w:r w:rsidRPr="009E4440">
        <w:rPr>
          <w:rFonts w:ascii="Times New Roman" w:hAnsi="Times New Roman" w:cs="Times New Roman"/>
          <w:sz w:val="24"/>
          <w:szCs w:val="24"/>
        </w:rPr>
        <w:t>Institution</w:t>
      </w: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8041D" w:rsidRPr="009E4440" w:rsidRDefault="00D8041D" w:rsidP="00DF1070">
      <w:pPr>
        <w:spacing w:after="0" w:line="480" w:lineRule="auto"/>
        <w:contextualSpacing/>
        <w:jc w:val="center"/>
        <w:rPr>
          <w:rFonts w:ascii="Times New Roman" w:hAnsi="Times New Roman" w:cs="Times New Roman"/>
          <w:sz w:val="24"/>
          <w:szCs w:val="24"/>
        </w:rPr>
      </w:pPr>
    </w:p>
    <w:p w:rsidR="00DF1070" w:rsidRDefault="00DF1070">
      <w:pPr>
        <w:rPr>
          <w:rFonts w:ascii="Times New Roman" w:hAnsi="Times New Roman" w:cs="Times New Roman"/>
          <w:sz w:val="24"/>
          <w:szCs w:val="24"/>
        </w:rPr>
      </w:pPr>
      <w:r>
        <w:rPr>
          <w:rFonts w:ascii="Times New Roman" w:hAnsi="Times New Roman" w:cs="Times New Roman"/>
          <w:sz w:val="24"/>
          <w:szCs w:val="24"/>
        </w:rPr>
        <w:br w:type="page"/>
      </w:r>
    </w:p>
    <w:p w:rsidR="00D8041D" w:rsidRPr="009E4440" w:rsidRDefault="00D8041D" w:rsidP="00DF1070">
      <w:pPr>
        <w:spacing w:after="0" w:line="480" w:lineRule="auto"/>
        <w:contextualSpacing/>
        <w:jc w:val="center"/>
        <w:rPr>
          <w:rFonts w:ascii="Times New Roman" w:hAnsi="Times New Roman" w:cs="Times New Roman"/>
          <w:sz w:val="24"/>
          <w:szCs w:val="24"/>
        </w:rPr>
      </w:pPr>
      <w:r w:rsidRPr="009E4440">
        <w:rPr>
          <w:rFonts w:ascii="Times New Roman" w:hAnsi="Times New Roman" w:cs="Times New Roman"/>
          <w:sz w:val="24"/>
          <w:szCs w:val="24"/>
        </w:rPr>
        <w:lastRenderedPageBreak/>
        <w:t>Case Study Three</w:t>
      </w:r>
    </w:p>
    <w:p w:rsidR="00D8041D" w:rsidRPr="009E4440" w:rsidRDefault="000C2C1C" w:rsidP="00DF1070">
      <w:pPr>
        <w:spacing w:after="0" w:line="480" w:lineRule="auto"/>
        <w:contextualSpacing/>
        <w:jc w:val="both"/>
        <w:rPr>
          <w:rFonts w:ascii="Times New Roman" w:hAnsi="Times New Roman" w:cs="Times New Roman"/>
          <w:sz w:val="24"/>
          <w:szCs w:val="24"/>
        </w:rPr>
      </w:pPr>
      <w:r w:rsidRPr="009E4440">
        <w:rPr>
          <w:rFonts w:ascii="Times New Roman" w:hAnsi="Times New Roman" w:cs="Times New Roman"/>
          <w:sz w:val="24"/>
          <w:szCs w:val="24"/>
        </w:rPr>
        <w:t xml:space="preserve">Dear Fred and </w:t>
      </w:r>
      <w:r w:rsidR="00F010ED" w:rsidRPr="009E4440">
        <w:rPr>
          <w:rFonts w:ascii="Times New Roman" w:hAnsi="Times New Roman" w:cs="Times New Roman"/>
          <w:sz w:val="24"/>
          <w:szCs w:val="24"/>
        </w:rPr>
        <w:t>Sally</w:t>
      </w:r>
    </w:p>
    <w:p w:rsidR="00AA615C" w:rsidRPr="00AA615C" w:rsidRDefault="00AA615C" w:rsidP="00DF1070">
      <w:pPr>
        <w:spacing w:after="0" w:line="480" w:lineRule="auto"/>
        <w:ind w:firstLine="720"/>
        <w:contextualSpacing/>
        <w:rPr>
          <w:rFonts w:ascii="Times New Roman" w:hAnsi="Times New Roman" w:cs="Times New Roman"/>
          <w:sz w:val="24"/>
          <w:szCs w:val="24"/>
        </w:rPr>
      </w:pPr>
      <w:r w:rsidRPr="00AA615C">
        <w:rPr>
          <w:rFonts w:ascii="Times New Roman" w:hAnsi="Times New Roman" w:cs="Times New Roman"/>
          <w:sz w:val="24"/>
          <w:szCs w:val="24"/>
        </w:rPr>
        <w:t>It is my joy to note that your esteemed company has recovered from the turbulent events it has been experiencing in the recent past. This is a show that the company is resilient and that the company has a bright future. I feel honored to have been hired to be part of the company’s recovery effort, and as a legal mind, I am willing to give professional insights about the steps that the company has to follow to go public and to overcome the remaining hurdles. Here are some insights:</w:t>
      </w:r>
    </w:p>
    <w:p w:rsidR="00AA615C" w:rsidRPr="001F6837" w:rsidRDefault="00AA615C" w:rsidP="00DF1070">
      <w:pPr>
        <w:spacing w:after="0" w:line="480" w:lineRule="auto"/>
        <w:contextualSpacing/>
        <w:jc w:val="both"/>
        <w:rPr>
          <w:rFonts w:ascii="Times New Roman" w:hAnsi="Times New Roman" w:cs="Times New Roman"/>
          <w:b/>
          <w:sz w:val="24"/>
          <w:szCs w:val="24"/>
        </w:rPr>
      </w:pPr>
      <w:r w:rsidRPr="001F6837">
        <w:rPr>
          <w:rFonts w:ascii="Times New Roman" w:hAnsi="Times New Roman" w:cs="Times New Roman"/>
          <w:b/>
          <w:sz w:val="24"/>
          <w:szCs w:val="24"/>
        </w:rPr>
        <w:t>I.    Legal and/Regulatory Issues</w:t>
      </w:r>
    </w:p>
    <w:p w:rsidR="00AA615C" w:rsidRPr="00AA615C" w:rsidRDefault="00AA615C" w:rsidP="00DF1070">
      <w:pPr>
        <w:spacing w:after="0" w:line="480" w:lineRule="auto"/>
        <w:ind w:firstLine="720"/>
        <w:contextualSpacing/>
        <w:rPr>
          <w:rFonts w:ascii="Times New Roman" w:hAnsi="Times New Roman" w:cs="Times New Roman"/>
          <w:sz w:val="24"/>
          <w:szCs w:val="24"/>
        </w:rPr>
      </w:pPr>
      <w:r w:rsidRPr="00AA615C">
        <w:rPr>
          <w:rFonts w:ascii="Times New Roman" w:hAnsi="Times New Roman" w:cs="Times New Roman"/>
          <w:sz w:val="24"/>
          <w:szCs w:val="24"/>
        </w:rPr>
        <w:t>For Miracle Cough Syrup to go public, it must go through what is known as an initial public offering (IPO). In the process, the company will sell its shares to the public, and this will make it cease being a family or privately-owned business (Kubasek et al., 2012). The first step would involve making an application to the Securities Exchange Commission (SEC). SEC will require Miracle Cough Syrup to disclose a lot of information, including information about its financial undertakings. SEC regulations also require companies to hire an underwriter, mostly an investment bank, which acts as the broker between the investing public and the issuing company. The other important role of an underwriting agency is that it advises the management of a firm about SEC regulations that must be adhered with (Staff, n.d.). During the SEC review period, a firm’s financial statements are audited before comments for registration are issued.</w:t>
      </w:r>
    </w:p>
    <w:p w:rsidR="00AA615C" w:rsidRPr="00AA615C" w:rsidRDefault="00AA615C" w:rsidP="00DF1070">
      <w:pPr>
        <w:spacing w:after="0" w:line="480" w:lineRule="auto"/>
        <w:contextualSpacing/>
        <w:rPr>
          <w:rFonts w:ascii="Times New Roman" w:hAnsi="Times New Roman" w:cs="Times New Roman"/>
          <w:sz w:val="24"/>
          <w:szCs w:val="24"/>
        </w:rPr>
      </w:pPr>
      <w:r w:rsidRPr="00AA615C">
        <w:rPr>
          <w:rFonts w:ascii="Times New Roman" w:hAnsi="Times New Roman" w:cs="Times New Roman"/>
          <w:sz w:val="24"/>
          <w:szCs w:val="24"/>
        </w:rPr>
        <w:t xml:space="preserve">    </w:t>
      </w:r>
      <w:r w:rsidR="00787FE8">
        <w:rPr>
          <w:rFonts w:ascii="Times New Roman" w:hAnsi="Times New Roman" w:cs="Times New Roman"/>
          <w:sz w:val="24"/>
          <w:szCs w:val="24"/>
        </w:rPr>
        <w:tab/>
      </w:r>
      <w:r w:rsidRPr="00AA615C">
        <w:rPr>
          <w:rFonts w:ascii="Times New Roman" w:hAnsi="Times New Roman" w:cs="Times New Roman"/>
          <w:sz w:val="24"/>
          <w:szCs w:val="24"/>
        </w:rPr>
        <w:t xml:space="preserve">For Miracle Cough Syrup, it would be essential to disclose all information to the SEC. This information includes ownership of the company, shares for each owner, financial statements, and roles of each employee. The management should be willing to disclose information about Jane’s fraudulent activities, Bob’s online sabotage, and Tammy’s claims of sexual harassment. By doing this, the company will have offered to the members of the public all the information that is required for them to make risk analysis and decide whether to invest in the company or not (IPO Basics, 2017). </w:t>
      </w:r>
    </w:p>
    <w:p w:rsidR="00AA615C" w:rsidRPr="00AA615C" w:rsidRDefault="00AA615C" w:rsidP="00DF1070">
      <w:pPr>
        <w:spacing w:after="0" w:line="480" w:lineRule="auto"/>
        <w:contextualSpacing/>
        <w:rPr>
          <w:rFonts w:ascii="Times New Roman" w:hAnsi="Times New Roman" w:cs="Times New Roman"/>
          <w:sz w:val="24"/>
          <w:szCs w:val="24"/>
        </w:rPr>
      </w:pPr>
      <w:r w:rsidRPr="00AA615C">
        <w:rPr>
          <w:rFonts w:ascii="Times New Roman" w:hAnsi="Times New Roman" w:cs="Times New Roman"/>
          <w:sz w:val="24"/>
          <w:szCs w:val="24"/>
        </w:rPr>
        <w:t xml:space="preserve">    </w:t>
      </w:r>
      <w:r w:rsidR="00787FE8">
        <w:rPr>
          <w:rFonts w:ascii="Times New Roman" w:hAnsi="Times New Roman" w:cs="Times New Roman"/>
          <w:sz w:val="24"/>
          <w:szCs w:val="24"/>
        </w:rPr>
        <w:tab/>
      </w:r>
      <w:r w:rsidRPr="00AA615C">
        <w:rPr>
          <w:rFonts w:ascii="Times New Roman" w:hAnsi="Times New Roman" w:cs="Times New Roman"/>
          <w:sz w:val="24"/>
          <w:szCs w:val="24"/>
        </w:rPr>
        <w:t xml:space="preserve">Some of these issues may seem risky to disclose but disclosing them present significant benefits to the company’s future (Staff, n.d.). For instance, disclosing Tammy’s sexual harassment claims would be an opportunity for Fred to clear his name and make the truth known. Secondly, it is wise to disclose Jane’s accounting fraud because even if the company does not do so, SEC’s review will uncover the truth. I also recommend disclosure of information about Don’s and Church’s involvement with Jane’s forgery and actions that were taken to remedy the situation. Bob’s sabotage should also be disclosed because it amounts to infringement of the company’s patent rights. Ideally, disclosure of this information will increase the chances of success as far as Miracle Cough Syrups effort to go public is concerned.     </w:t>
      </w:r>
    </w:p>
    <w:p w:rsidR="00AA615C" w:rsidRPr="00A63103" w:rsidRDefault="00AA615C" w:rsidP="00DF1070">
      <w:pPr>
        <w:spacing w:after="0" w:line="480" w:lineRule="auto"/>
        <w:contextualSpacing/>
        <w:jc w:val="both"/>
        <w:rPr>
          <w:rFonts w:ascii="Times New Roman" w:hAnsi="Times New Roman" w:cs="Times New Roman"/>
          <w:b/>
          <w:sz w:val="24"/>
          <w:szCs w:val="24"/>
        </w:rPr>
      </w:pPr>
      <w:r w:rsidRPr="00A63103">
        <w:rPr>
          <w:rFonts w:ascii="Times New Roman" w:hAnsi="Times New Roman" w:cs="Times New Roman"/>
          <w:b/>
          <w:sz w:val="24"/>
          <w:szCs w:val="24"/>
        </w:rPr>
        <w:t>II.    Legal Test</w:t>
      </w:r>
    </w:p>
    <w:p w:rsidR="00AA615C" w:rsidRPr="00AA615C" w:rsidRDefault="00AA615C" w:rsidP="00DF1070">
      <w:pPr>
        <w:spacing w:after="0" w:line="480" w:lineRule="auto"/>
        <w:ind w:firstLine="720"/>
        <w:contextualSpacing/>
        <w:rPr>
          <w:rFonts w:ascii="Times New Roman" w:hAnsi="Times New Roman" w:cs="Times New Roman"/>
          <w:sz w:val="24"/>
          <w:szCs w:val="24"/>
        </w:rPr>
      </w:pPr>
      <w:r w:rsidRPr="00AA615C">
        <w:rPr>
          <w:rFonts w:ascii="Times New Roman" w:hAnsi="Times New Roman" w:cs="Times New Roman"/>
          <w:sz w:val="24"/>
          <w:szCs w:val="24"/>
        </w:rPr>
        <w:t>The best way to determine if Miracle Cough Syrup complies with government regulations related to IPO is the use of the Howey Test. The underlying idea in Howey Test is that an instrument can be considered security only if it involves an investment of tangible considerations with a reasonable expectation of profits that would be derived from management effort or entrepreneurship (Anthony, PPLC, 2018). The four most important aspects that make security valid, according to Howey Test (Anthony, PPLC, 2018), are 1) investment of money, 2) expectations of profit, 3) investment of money in a joint enterprise and 4) profits from a third party or promoter. Miracle Cough Syrup meets all these requirements because its stock is the money that its owners have invested and shareholders invested that money with an expectation of profits. On the third aspect, the money was invested in a common enterprise because Fred and Sally came together with the common goal of forming a drugs business. On the fourth factor, the company’s profits are generated by the effort of the owners, who can be considered promoters of the business.</w:t>
      </w:r>
    </w:p>
    <w:p w:rsidR="00AA615C" w:rsidRPr="00A63103" w:rsidRDefault="00AA615C" w:rsidP="00DF1070">
      <w:pPr>
        <w:spacing w:after="0" w:line="480" w:lineRule="auto"/>
        <w:contextualSpacing/>
        <w:jc w:val="both"/>
        <w:rPr>
          <w:rFonts w:ascii="Times New Roman" w:hAnsi="Times New Roman" w:cs="Times New Roman"/>
          <w:b/>
          <w:sz w:val="24"/>
          <w:szCs w:val="24"/>
        </w:rPr>
      </w:pPr>
      <w:r w:rsidRPr="00A63103">
        <w:rPr>
          <w:rFonts w:ascii="Times New Roman" w:hAnsi="Times New Roman" w:cs="Times New Roman"/>
          <w:b/>
          <w:sz w:val="24"/>
          <w:szCs w:val="24"/>
        </w:rPr>
        <w:t>III.    Conclusion and Recommendations</w:t>
      </w:r>
    </w:p>
    <w:p w:rsidR="00AA615C" w:rsidRPr="00AA615C" w:rsidRDefault="00AA615C" w:rsidP="00DF1070">
      <w:pPr>
        <w:spacing w:after="0" w:line="480" w:lineRule="auto"/>
        <w:ind w:firstLine="720"/>
        <w:contextualSpacing/>
        <w:rPr>
          <w:rFonts w:ascii="Times New Roman" w:hAnsi="Times New Roman" w:cs="Times New Roman"/>
          <w:sz w:val="24"/>
          <w:szCs w:val="24"/>
        </w:rPr>
      </w:pPr>
      <w:r w:rsidRPr="00AA615C">
        <w:rPr>
          <w:rFonts w:ascii="Times New Roman" w:hAnsi="Times New Roman" w:cs="Times New Roman"/>
          <w:sz w:val="24"/>
          <w:szCs w:val="24"/>
        </w:rPr>
        <w:t>Despite the hurdles that Miracle Cough Syrup has faced in the past, the company’s prospects are positive. I recommend the company to pursue its dream of going public because this is the only way it can attract sufficient resources to drive its growth strategy. So far, the company has demonstrated that it is resilient enough to rebound from turbulent times. What the Miracle Cough Syrup needs to do is to demonstrate high standards of accountability and business ethics as well as a commitment to the interests of investors. This way, the company will eliminate investment uncertainties and prove to its potential investors and suppliers that it can be trusted as a business partner. I also recommend the adoption of technology as a way of streamlining operations and making sure that some accounting loopholes of the past are sealed. A technology that is based on streamlined data and information tracking systems would have prevented manipulation of accounting records that happened in the company in the past. With these measures in place, the company’s performance will continually improve, and this will translate to growth and investor confidence.</w:t>
      </w:r>
    </w:p>
    <w:p w:rsidR="006679E3" w:rsidRDefault="00AA615C" w:rsidP="00DF1070">
      <w:pPr>
        <w:spacing w:after="0" w:line="480" w:lineRule="auto"/>
        <w:contextualSpacing/>
        <w:rPr>
          <w:rFonts w:ascii="Times New Roman" w:hAnsi="Times New Roman" w:cs="Times New Roman"/>
          <w:sz w:val="24"/>
          <w:szCs w:val="24"/>
        </w:rPr>
      </w:pPr>
      <w:r w:rsidRPr="00AA615C">
        <w:rPr>
          <w:rFonts w:ascii="Times New Roman" w:hAnsi="Times New Roman" w:cs="Times New Roman"/>
          <w:sz w:val="24"/>
          <w:szCs w:val="24"/>
        </w:rPr>
        <w:t>I hope that the few insights I have offered will help you to make informed decisions about going public. I have enjoyed working with you and would be willing to provide you with more ideas and be part of your company’s growth journey.</w:t>
      </w:r>
    </w:p>
    <w:p w:rsidR="005C24ED" w:rsidRPr="009E4440" w:rsidRDefault="005C24ED" w:rsidP="00DF1070">
      <w:pPr>
        <w:spacing w:after="0" w:line="480" w:lineRule="auto"/>
        <w:contextualSpacing/>
        <w:jc w:val="both"/>
        <w:rPr>
          <w:rFonts w:ascii="Times New Roman" w:hAnsi="Times New Roman" w:cs="Times New Roman"/>
          <w:sz w:val="24"/>
          <w:szCs w:val="24"/>
        </w:rPr>
      </w:pPr>
      <w:r w:rsidRPr="009E4440">
        <w:rPr>
          <w:rFonts w:ascii="Times New Roman" w:hAnsi="Times New Roman" w:cs="Times New Roman"/>
          <w:sz w:val="24"/>
          <w:szCs w:val="24"/>
        </w:rPr>
        <w:t>Thank You</w:t>
      </w:r>
    </w:p>
    <w:p w:rsidR="00C55431" w:rsidRPr="009E4440" w:rsidRDefault="00C55431" w:rsidP="009E4440">
      <w:pPr>
        <w:spacing w:line="480" w:lineRule="auto"/>
        <w:rPr>
          <w:rFonts w:ascii="Times New Roman" w:hAnsi="Times New Roman" w:cs="Times New Roman"/>
          <w:sz w:val="24"/>
          <w:szCs w:val="24"/>
        </w:rPr>
      </w:pPr>
    </w:p>
    <w:p w:rsidR="00DF1070" w:rsidRDefault="00DF1070">
      <w:pPr>
        <w:rPr>
          <w:rFonts w:ascii="Times New Roman" w:hAnsi="Times New Roman" w:cs="Times New Roman"/>
          <w:sz w:val="24"/>
          <w:szCs w:val="24"/>
        </w:rPr>
      </w:pPr>
      <w:r>
        <w:rPr>
          <w:rFonts w:ascii="Times New Roman" w:hAnsi="Times New Roman" w:cs="Times New Roman"/>
          <w:sz w:val="24"/>
          <w:szCs w:val="24"/>
        </w:rPr>
        <w:br w:type="page"/>
      </w:r>
    </w:p>
    <w:p w:rsidR="0065314B" w:rsidRPr="009E4440" w:rsidRDefault="0065314B" w:rsidP="009E4440">
      <w:pPr>
        <w:spacing w:line="480" w:lineRule="auto"/>
        <w:jc w:val="center"/>
        <w:rPr>
          <w:rFonts w:ascii="Times New Roman" w:hAnsi="Times New Roman" w:cs="Times New Roman"/>
          <w:sz w:val="24"/>
          <w:szCs w:val="24"/>
        </w:rPr>
      </w:pPr>
      <w:r w:rsidRPr="009E4440">
        <w:rPr>
          <w:rFonts w:ascii="Times New Roman" w:hAnsi="Times New Roman" w:cs="Times New Roman"/>
          <w:sz w:val="24"/>
          <w:szCs w:val="24"/>
        </w:rPr>
        <w:t>References</w:t>
      </w:r>
    </w:p>
    <w:p w:rsidR="007D482C" w:rsidRPr="009E4440" w:rsidRDefault="007D482C" w:rsidP="009E4440">
      <w:pPr>
        <w:shd w:val="clear" w:color="auto" w:fill="FFFFFF"/>
        <w:spacing w:after="0" w:line="480" w:lineRule="auto"/>
        <w:ind w:left="720" w:hanging="720"/>
        <w:textAlignment w:val="baseline"/>
        <w:rPr>
          <w:rFonts w:ascii="Times New Roman" w:hAnsi="Times New Roman" w:cs="Times New Roman"/>
          <w:sz w:val="24"/>
          <w:szCs w:val="24"/>
        </w:rPr>
      </w:pPr>
      <w:r w:rsidRPr="009E4440">
        <w:rPr>
          <w:rFonts w:ascii="Times New Roman" w:eastAsia="Times New Roman" w:hAnsi="Times New Roman" w:cs="Times New Roman"/>
          <w:sz w:val="24"/>
          <w:szCs w:val="24"/>
          <w:lang w:val="en-GB" w:eastAsia="en-GB"/>
        </w:rPr>
        <w:t xml:space="preserve">Anthony, PPLC (2018). Howey Test to determine if an Investment is a Security, a web site, accessed on 16 April, 2019, link </w:t>
      </w:r>
      <w:hyperlink r:id="rId8" w:history="1">
        <w:r w:rsidRPr="009E4440">
          <w:rPr>
            <w:rStyle w:val="Hyperlink"/>
            <w:rFonts w:ascii="Times New Roman" w:hAnsi="Times New Roman" w:cs="Times New Roman"/>
            <w:color w:val="auto"/>
            <w:sz w:val="24"/>
            <w:szCs w:val="24"/>
          </w:rPr>
          <w:t>http://www.legalandcompliance.com/securities-resources/securities-glossary/howey-test-to-determine-if-an-investment-is-a-security/</w:t>
        </w:r>
      </w:hyperlink>
    </w:p>
    <w:p w:rsidR="007D482C" w:rsidRPr="009E4440" w:rsidRDefault="007D482C" w:rsidP="009E4440">
      <w:pPr>
        <w:spacing w:line="480" w:lineRule="auto"/>
        <w:ind w:left="720" w:hanging="720"/>
        <w:rPr>
          <w:rFonts w:ascii="Times New Roman" w:hAnsi="Times New Roman" w:cs="Times New Roman"/>
          <w:sz w:val="24"/>
          <w:szCs w:val="24"/>
        </w:rPr>
      </w:pPr>
      <w:r w:rsidRPr="009E4440">
        <w:rPr>
          <w:rFonts w:ascii="Times New Roman" w:hAnsi="Times New Roman" w:cs="Times New Roman"/>
          <w:sz w:val="24"/>
          <w:szCs w:val="24"/>
        </w:rPr>
        <w:t xml:space="preserve">IPO Basics (2017).  Stock Exchanges and Securities Laws. (1999, November 01). Retrieved 16 April, 2019, from </w:t>
      </w:r>
      <w:hyperlink r:id="rId9" w:history="1">
        <w:r w:rsidRPr="009E4440">
          <w:rPr>
            <w:rStyle w:val="Hyperlink"/>
            <w:rFonts w:ascii="Times New Roman" w:hAnsi="Times New Roman" w:cs="Times New Roman"/>
            <w:color w:val="auto"/>
            <w:sz w:val="24"/>
            <w:szCs w:val="24"/>
          </w:rPr>
          <w:t>https://www.inc.com/articles/1999/11/15750.html</w:t>
        </w:r>
      </w:hyperlink>
    </w:p>
    <w:p w:rsidR="007D482C" w:rsidRPr="009E4440" w:rsidRDefault="007D482C" w:rsidP="009E4440">
      <w:pPr>
        <w:shd w:val="clear" w:color="auto" w:fill="FFFFFF"/>
        <w:spacing w:after="0" w:line="480" w:lineRule="auto"/>
        <w:ind w:left="720" w:hanging="720"/>
        <w:textAlignment w:val="baseline"/>
        <w:rPr>
          <w:rFonts w:ascii="Times New Roman" w:eastAsia="Times New Roman" w:hAnsi="Times New Roman" w:cs="Times New Roman"/>
          <w:sz w:val="24"/>
          <w:szCs w:val="24"/>
          <w:bdr w:val="none" w:sz="0" w:space="0" w:color="auto" w:frame="1"/>
          <w:lang w:val="en-GB" w:eastAsia="en-GB"/>
        </w:rPr>
      </w:pPr>
      <w:r w:rsidRPr="009E4440">
        <w:rPr>
          <w:rFonts w:ascii="Times New Roman" w:eastAsia="Times New Roman" w:hAnsi="Times New Roman" w:cs="Times New Roman"/>
          <w:spacing w:val="-2"/>
          <w:sz w:val="24"/>
          <w:szCs w:val="24"/>
          <w:bdr w:val="none" w:sz="0" w:space="0" w:color="auto" w:frame="1"/>
          <w:lang w:val="en-GB" w:eastAsia="en-GB"/>
        </w:rPr>
        <w:t xml:space="preserve">Kubasek, N., Browne, M., Herron, D., Giampetro-Meyer, A., Barkacs, L., Dhooge, L., &amp; </w:t>
      </w:r>
      <w:r w:rsidRPr="009E4440">
        <w:rPr>
          <w:rFonts w:ascii="Times New Roman" w:eastAsia="Times New Roman" w:hAnsi="Times New Roman" w:cs="Times New Roman"/>
          <w:sz w:val="24"/>
          <w:szCs w:val="24"/>
          <w:bdr w:val="none" w:sz="0" w:space="0" w:color="auto" w:frame="1"/>
          <w:lang w:val="en-GB" w:eastAsia="en-GB"/>
        </w:rPr>
        <w:t>Williamson, C. (2012).</w:t>
      </w:r>
      <w:r w:rsidRPr="009E4440">
        <w:rPr>
          <w:rFonts w:ascii="Times New Roman" w:eastAsia="Times New Roman" w:hAnsi="Times New Roman" w:cs="Times New Roman"/>
          <w:i/>
          <w:sz w:val="24"/>
          <w:szCs w:val="24"/>
          <w:bdr w:val="none" w:sz="0" w:space="0" w:color="auto" w:frame="1"/>
          <w:lang w:val="en-GB" w:eastAsia="en-GB"/>
        </w:rPr>
        <w:t>Dynamic Business Law</w:t>
      </w:r>
      <w:r w:rsidRPr="009E4440">
        <w:rPr>
          <w:rFonts w:ascii="Times New Roman" w:eastAsia="Times New Roman" w:hAnsi="Times New Roman" w:cs="Times New Roman"/>
          <w:sz w:val="24"/>
          <w:szCs w:val="24"/>
          <w:bdr w:val="none" w:sz="0" w:space="0" w:color="auto" w:frame="1"/>
          <w:lang w:val="en-GB" w:eastAsia="en-GB"/>
        </w:rPr>
        <w:t xml:space="preserve"> </w:t>
      </w:r>
      <w:r w:rsidRPr="009E4440">
        <w:rPr>
          <w:rFonts w:ascii="Times New Roman" w:eastAsia="Times New Roman" w:hAnsi="Times New Roman" w:cs="Times New Roman"/>
          <w:spacing w:val="-6"/>
          <w:sz w:val="24"/>
          <w:szCs w:val="24"/>
          <w:bdr w:val="none" w:sz="0" w:space="0" w:color="auto" w:frame="1"/>
          <w:lang w:val="en-GB" w:eastAsia="en-GB"/>
        </w:rPr>
        <w:t>(2nd ed.). New York, NY: McGraw-</w:t>
      </w:r>
      <w:r w:rsidRPr="009E4440">
        <w:rPr>
          <w:rFonts w:ascii="Times New Roman" w:eastAsia="Times New Roman" w:hAnsi="Times New Roman" w:cs="Times New Roman"/>
          <w:sz w:val="24"/>
          <w:szCs w:val="24"/>
          <w:bdr w:val="none" w:sz="0" w:space="0" w:color="auto" w:frame="1"/>
          <w:lang w:val="en-GB" w:eastAsia="en-GB"/>
        </w:rPr>
        <w:t>Hill Education</w:t>
      </w:r>
    </w:p>
    <w:p w:rsidR="007D482C" w:rsidRPr="009E4440" w:rsidRDefault="007D482C" w:rsidP="009E4440">
      <w:pPr>
        <w:spacing w:line="480" w:lineRule="auto"/>
        <w:ind w:left="720" w:hanging="720"/>
        <w:rPr>
          <w:rFonts w:ascii="Times New Roman" w:hAnsi="Times New Roman" w:cs="Times New Roman"/>
          <w:sz w:val="24"/>
          <w:szCs w:val="24"/>
        </w:rPr>
      </w:pPr>
      <w:r w:rsidRPr="009E4440">
        <w:rPr>
          <w:rFonts w:ascii="Times New Roman" w:hAnsi="Times New Roman" w:cs="Times New Roman"/>
          <w:sz w:val="24"/>
          <w:szCs w:val="24"/>
        </w:rPr>
        <w:t>Sta</w:t>
      </w:r>
      <w:bookmarkStart w:id="0" w:name="_GoBack"/>
      <w:bookmarkEnd w:id="0"/>
      <w:r w:rsidRPr="009E4440">
        <w:rPr>
          <w:rFonts w:ascii="Times New Roman" w:hAnsi="Times New Roman" w:cs="Times New Roman"/>
          <w:sz w:val="24"/>
          <w:szCs w:val="24"/>
        </w:rPr>
        <w:t xml:space="preserve">ff, I. (n.d.). Initial Public Offerings - How They Affect Companies and Investors. Retrieved 16 April, 2019, from </w:t>
      </w:r>
      <w:hyperlink r:id="rId10" w:history="1">
        <w:r w:rsidRPr="009E4440">
          <w:rPr>
            <w:rStyle w:val="Hyperlink"/>
            <w:rFonts w:ascii="Times New Roman" w:hAnsi="Times New Roman" w:cs="Times New Roman"/>
            <w:color w:val="auto"/>
            <w:sz w:val="24"/>
            <w:szCs w:val="24"/>
          </w:rPr>
          <w:t>http://www.investorguide.com/article/11714/initial-public-offerings-how-they-affect-companies-and-investors-igu/</w:t>
        </w:r>
      </w:hyperlink>
    </w:p>
    <w:p w:rsidR="00594B5D" w:rsidRPr="008B7FA4" w:rsidRDefault="00594B5D" w:rsidP="009E4440">
      <w:pPr>
        <w:shd w:val="clear" w:color="auto" w:fill="FFFFFF"/>
        <w:spacing w:after="0" w:line="480" w:lineRule="auto"/>
        <w:ind w:left="720" w:hanging="720"/>
        <w:textAlignment w:val="baseline"/>
        <w:rPr>
          <w:rFonts w:ascii="Times New Roman" w:eastAsia="Times New Roman" w:hAnsi="Times New Roman" w:cs="Times New Roman"/>
          <w:color w:val="16192B"/>
          <w:sz w:val="24"/>
          <w:szCs w:val="24"/>
          <w:lang w:val="en-GB" w:eastAsia="en-GB"/>
        </w:rPr>
      </w:pPr>
    </w:p>
    <w:p w:rsidR="008B7FA4" w:rsidRPr="008B7FA4" w:rsidRDefault="008B7FA4" w:rsidP="009E4440">
      <w:pPr>
        <w:shd w:val="clear" w:color="auto" w:fill="FFFFFF"/>
        <w:spacing w:line="480" w:lineRule="auto"/>
        <w:textAlignment w:val="baseline"/>
        <w:rPr>
          <w:rFonts w:ascii="Times New Roman" w:eastAsia="Times New Roman" w:hAnsi="Times New Roman" w:cs="Times New Roman"/>
          <w:color w:val="16192B"/>
          <w:sz w:val="24"/>
          <w:szCs w:val="24"/>
          <w:lang w:val="en-GB" w:eastAsia="en-GB"/>
        </w:rPr>
      </w:pPr>
    </w:p>
    <w:p w:rsidR="0065314B" w:rsidRPr="009E4440" w:rsidRDefault="0065314B" w:rsidP="009E4440">
      <w:pPr>
        <w:spacing w:line="480" w:lineRule="auto"/>
        <w:jc w:val="both"/>
        <w:rPr>
          <w:rFonts w:ascii="Times New Roman" w:hAnsi="Times New Roman" w:cs="Times New Roman"/>
          <w:sz w:val="24"/>
          <w:szCs w:val="24"/>
        </w:rPr>
      </w:pPr>
    </w:p>
    <w:p w:rsidR="002F2158" w:rsidRPr="009E4440" w:rsidRDefault="002F2158" w:rsidP="009E4440">
      <w:pPr>
        <w:spacing w:line="480" w:lineRule="auto"/>
        <w:ind w:firstLine="720"/>
        <w:jc w:val="both"/>
        <w:rPr>
          <w:rFonts w:ascii="Times New Roman" w:hAnsi="Times New Roman" w:cs="Times New Roman"/>
          <w:sz w:val="24"/>
          <w:szCs w:val="24"/>
        </w:rPr>
      </w:pPr>
    </w:p>
    <w:p w:rsidR="004117AD" w:rsidRPr="009E4440" w:rsidRDefault="00C01097" w:rsidP="009E4440">
      <w:pPr>
        <w:spacing w:line="480" w:lineRule="auto"/>
        <w:ind w:firstLine="720"/>
        <w:jc w:val="both"/>
        <w:rPr>
          <w:rFonts w:ascii="Times New Roman" w:hAnsi="Times New Roman" w:cs="Times New Roman"/>
          <w:sz w:val="24"/>
          <w:szCs w:val="24"/>
        </w:rPr>
      </w:pPr>
      <w:r w:rsidRPr="009E4440">
        <w:rPr>
          <w:rFonts w:ascii="Times New Roman" w:hAnsi="Times New Roman" w:cs="Times New Roman"/>
          <w:sz w:val="24"/>
          <w:szCs w:val="24"/>
        </w:rPr>
        <w:t xml:space="preserve"> </w:t>
      </w:r>
      <w:r w:rsidR="00EA5F99" w:rsidRPr="009E4440">
        <w:rPr>
          <w:rFonts w:ascii="Times New Roman" w:hAnsi="Times New Roman" w:cs="Times New Roman"/>
          <w:sz w:val="24"/>
          <w:szCs w:val="24"/>
        </w:rPr>
        <w:t xml:space="preserve"> </w:t>
      </w:r>
    </w:p>
    <w:p w:rsidR="004117AD" w:rsidRPr="009E4440" w:rsidRDefault="004117AD" w:rsidP="009E4440">
      <w:pPr>
        <w:spacing w:line="480" w:lineRule="auto"/>
        <w:ind w:firstLine="720"/>
        <w:jc w:val="both"/>
        <w:rPr>
          <w:rFonts w:ascii="Times New Roman" w:hAnsi="Times New Roman" w:cs="Times New Roman"/>
          <w:sz w:val="24"/>
          <w:szCs w:val="24"/>
        </w:rPr>
      </w:pPr>
    </w:p>
    <w:sectPr w:rsidR="004117AD" w:rsidRPr="009E4440" w:rsidSect="00D8041D">
      <w:headerReference w:type="default" r:id="rId11"/>
      <w:headerReference w:type="first" r:id="rId12"/>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7C62" w:rsidRDefault="00707C62" w:rsidP="00D8041D">
      <w:pPr>
        <w:spacing w:after="0" w:line="240" w:lineRule="auto"/>
      </w:pPr>
      <w:r>
        <w:separator/>
      </w:r>
    </w:p>
  </w:endnote>
  <w:endnote w:type="continuationSeparator" w:id="0">
    <w:p w:rsidR="00707C62" w:rsidRDefault="00707C62" w:rsidP="00D804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7C62" w:rsidRDefault="00707C62" w:rsidP="00D8041D">
      <w:pPr>
        <w:spacing w:after="0" w:line="240" w:lineRule="auto"/>
      </w:pPr>
      <w:r>
        <w:separator/>
      </w:r>
    </w:p>
  </w:footnote>
  <w:footnote w:type="continuationSeparator" w:id="0">
    <w:p w:rsidR="00707C62" w:rsidRDefault="00707C62" w:rsidP="00D804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8966731"/>
      <w:docPartObj>
        <w:docPartGallery w:val="Page Numbers (Top of Page)"/>
        <w:docPartUnique/>
      </w:docPartObj>
    </w:sdtPr>
    <w:sdtEndPr>
      <w:rPr>
        <w:noProof/>
      </w:rPr>
    </w:sdtEndPr>
    <w:sdtContent>
      <w:p w:rsidR="00D8041D" w:rsidRDefault="00D8041D">
        <w:pPr>
          <w:pStyle w:val="Header"/>
          <w:jc w:val="right"/>
        </w:pPr>
        <w:r w:rsidRPr="00D8041D">
          <w:rPr>
            <w:rFonts w:ascii="Times New Roman" w:hAnsi="Times New Roman" w:cs="Times New Roman"/>
            <w:sz w:val="24"/>
            <w:szCs w:val="24"/>
          </w:rPr>
          <w:t xml:space="preserve">CASE STUDY THREE </w:t>
        </w:r>
        <w:r>
          <w:rPr>
            <w:rFonts w:ascii="Times New Roman" w:hAnsi="Times New Roman" w:cs="Times New Roman"/>
            <w:sz w:val="24"/>
            <w:szCs w:val="24"/>
          </w:rPr>
          <w:tab/>
        </w:r>
        <w:r>
          <w:rPr>
            <w:rFonts w:ascii="Times New Roman" w:hAnsi="Times New Roman" w:cs="Times New Roman"/>
            <w:sz w:val="24"/>
            <w:szCs w:val="24"/>
          </w:rPr>
          <w:tab/>
        </w:r>
        <w:r w:rsidRPr="00D8041D">
          <w:rPr>
            <w:rFonts w:ascii="Times New Roman" w:hAnsi="Times New Roman" w:cs="Times New Roman"/>
            <w:sz w:val="24"/>
            <w:szCs w:val="24"/>
          </w:rPr>
          <w:fldChar w:fldCharType="begin"/>
        </w:r>
        <w:r w:rsidRPr="00D8041D">
          <w:rPr>
            <w:rFonts w:ascii="Times New Roman" w:hAnsi="Times New Roman" w:cs="Times New Roman"/>
            <w:sz w:val="24"/>
            <w:szCs w:val="24"/>
          </w:rPr>
          <w:instrText xml:space="preserve"> PAGE   \* MERGEFORMAT </w:instrText>
        </w:r>
        <w:r w:rsidRPr="00D8041D">
          <w:rPr>
            <w:rFonts w:ascii="Times New Roman" w:hAnsi="Times New Roman" w:cs="Times New Roman"/>
            <w:sz w:val="24"/>
            <w:szCs w:val="24"/>
          </w:rPr>
          <w:fldChar w:fldCharType="separate"/>
        </w:r>
        <w:r w:rsidR="00DF1070">
          <w:rPr>
            <w:rFonts w:ascii="Times New Roman" w:hAnsi="Times New Roman" w:cs="Times New Roman"/>
            <w:noProof/>
            <w:sz w:val="24"/>
            <w:szCs w:val="24"/>
          </w:rPr>
          <w:t>5</w:t>
        </w:r>
        <w:r w:rsidRPr="00D8041D">
          <w:rPr>
            <w:rFonts w:ascii="Times New Roman" w:hAnsi="Times New Roman" w:cs="Times New Roman"/>
            <w:noProof/>
            <w:sz w:val="24"/>
            <w:szCs w:val="24"/>
          </w:rPr>
          <w:fldChar w:fldCharType="end"/>
        </w:r>
      </w:p>
    </w:sdtContent>
  </w:sdt>
  <w:p w:rsidR="00D8041D" w:rsidRDefault="00D8041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18969984"/>
      <w:docPartObj>
        <w:docPartGallery w:val="Page Numbers (Top of Page)"/>
        <w:docPartUnique/>
      </w:docPartObj>
    </w:sdtPr>
    <w:sdtEndPr>
      <w:rPr>
        <w:noProof/>
      </w:rPr>
    </w:sdtEndPr>
    <w:sdtContent>
      <w:p w:rsidR="00D8041D" w:rsidRPr="00D8041D" w:rsidRDefault="00D8041D">
        <w:pPr>
          <w:pStyle w:val="Header"/>
          <w:jc w:val="right"/>
          <w:rPr>
            <w:rFonts w:ascii="Times New Roman" w:hAnsi="Times New Roman" w:cs="Times New Roman"/>
            <w:sz w:val="24"/>
            <w:szCs w:val="24"/>
          </w:rPr>
        </w:pPr>
        <w:r w:rsidRPr="00D8041D">
          <w:rPr>
            <w:rFonts w:ascii="Times New Roman" w:hAnsi="Times New Roman" w:cs="Times New Roman"/>
            <w:sz w:val="24"/>
            <w:szCs w:val="24"/>
          </w:rPr>
          <w:t>Running head: CASE STUDY THREE</w:t>
        </w:r>
        <w:r>
          <w:rPr>
            <w:rFonts w:ascii="Times New Roman" w:hAnsi="Times New Roman" w:cs="Times New Roman"/>
            <w:sz w:val="24"/>
            <w:szCs w:val="24"/>
          </w:rPr>
          <w:tab/>
        </w:r>
        <w:r>
          <w:rPr>
            <w:rFonts w:ascii="Times New Roman" w:hAnsi="Times New Roman" w:cs="Times New Roman"/>
            <w:sz w:val="24"/>
            <w:szCs w:val="24"/>
          </w:rPr>
          <w:tab/>
        </w:r>
        <w:r w:rsidRPr="00D8041D">
          <w:rPr>
            <w:rFonts w:ascii="Times New Roman" w:hAnsi="Times New Roman" w:cs="Times New Roman"/>
            <w:sz w:val="24"/>
            <w:szCs w:val="24"/>
          </w:rPr>
          <w:t xml:space="preserve"> </w:t>
        </w:r>
        <w:r w:rsidRPr="00D8041D">
          <w:rPr>
            <w:rFonts w:ascii="Times New Roman" w:hAnsi="Times New Roman" w:cs="Times New Roman"/>
            <w:sz w:val="24"/>
            <w:szCs w:val="24"/>
          </w:rPr>
          <w:fldChar w:fldCharType="begin"/>
        </w:r>
        <w:r w:rsidRPr="00D8041D">
          <w:rPr>
            <w:rFonts w:ascii="Times New Roman" w:hAnsi="Times New Roman" w:cs="Times New Roman"/>
            <w:sz w:val="24"/>
            <w:szCs w:val="24"/>
          </w:rPr>
          <w:instrText xml:space="preserve"> PAGE   \* MERGEFORMAT </w:instrText>
        </w:r>
        <w:r w:rsidRPr="00D8041D">
          <w:rPr>
            <w:rFonts w:ascii="Times New Roman" w:hAnsi="Times New Roman" w:cs="Times New Roman"/>
            <w:sz w:val="24"/>
            <w:szCs w:val="24"/>
          </w:rPr>
          <w:fldChar w:fldCharType="separate"/>
        </w:r>
        <w:r w:rsidR="00707C62">
          <w:rPr>
            <w:rFonts w:ascii="Times New Roman" w:hAnsi="Times New Roman" w:cs="Times New Roman"/>
            <w:noProof/>
            <w:sz w:val="24"/>
            <w:szCs w:val="24"/>
          </w:rPr>
          <w:t>1</w:t>
        </w:r>
        <w:r w:rsidRPr="00D8041D">
          <w:rPr>
            <w:rFonts w:ascii="Times New Roman" w:hAnsi="Times New Roman" w:cs="Times New Roman"/>
            <w:noProof/>
            <w:sz w:val="24"/>
            <w:szCs w:val="24"/>
          </w:rPr>
          <w:fldChar w:fldCharType="end"/>
        </w:r>
      </w:p>
    </w:sdtContent>
  </w:sdt>
  <w:p w:rsidR="00D8041D" w:rsidRDefault="00D8041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7055A6"/>
    <w:multiLevelType w:val="hybridMultilevel"/>
    <w:tmpl w:val="885A8A72"/>
    <w:lvl w:ilvl="0" w:tplc="BB0C3870">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LSwMDGzNDS0MDQxsDBS0lEKTi0uzszPAykwrAUAaQWxuiwAAAA="/>
  </w:docVars>
  <w:rsids>
    <w:rsidRoot w:val="00D8041D"/>
    <w:rsid w:val="00001B21"/>
    <w:rsid w:val="00076CE4"/>
    <w:rsid w:val="000A5823"/>
    <w:rsid w:val="000C2C1C"/>
    <w:rsid w:val="000C55EB"/>
    <w:rsid w:val="000E4D01"/>
    <w:rsid w:val="000F78D8"/>
    <w:rsid w:val="00113A26"/>
    <w:rsid w:val="00113C94"/>
    <w:rsid w:val="00127C27"/>
    <w:rsid w:val="00164281"/>
    <w:rsid w:val="001F0942"/>
    <w:rsid w:val="001F6837"/>
    <w:rsid w:val="002115D5"/>
    <w:rsid w:val="00211FB6"/>
    <w:rsid w:val="00245629"/>
    <w:rsid w:val="00274E0D"/>
    <w:rsid w:val="0028223E"/>
    <w:rsid w:val="002D592E"/>
    <w:rsid w:val="002E1393"/>
    <w:rsid w:val="002F2158"/>
    <w:rsid w:val="00305601"/>
    <w:rsid w:val="00353D51"/>
    <w:rsid w:val="00362A41"/>
    <w:rsid w:val="003A670A"/>
    <w:rsid w:val="004005F1"/>
    <w:rsid w:val="00402BFA"/>
    <w:rsid w:val="004034F2"/>
    <w:rsid w:val="004117AD"/>
    <w:rsid w:val="00417E45"/>
    <w:rsid w:val="00480A44"/>
    <w:rsid w:val="004C081F"/>
    <w:rsid w:val="004D2983"/>
    <w:rsid w:val="004F20A8"/>
    <w:rsid w:val="004F25E5"/>
    <w:rsid w:val="00504808"/>
    <w:rsid w:val="005058FA"/>
    <w:rsid w:val="00543F58"/>
    <w:rsid w:val="00591CB6"/>
    <w:rsid w:val="00594B5D"/>
    <w:rsid w:val="005C24ED"/>
    <w:rsid w:val="00626CBF"/>
    <w:rsid w:val="0065314B"/>
    <w:rsid w:val="006679E3"/>
    <w:rsid w:val="00674CFD"/>
    <w:rsid w:val="00680688"/>
    <w:rsid w:val="006816B8"/>
    <w:rsid w:val="006822D1"/>
    <w:rsid w:val="0069277D"/>
    <w:rsid w:val="006D5A13"/>
    <w:rsid w:val="006F632E"/>
    <w:rsid w:val="00707C62"/>
    <w:rsid w:val="0076697C"/>
    <w:rsid w:val="0077551D"/>
    <w:rsid w:val="0078690F"/>
    <w:rsid w:val="00786D2E"/>
    <w:rsid w:val="00787FE8"/>
    <w:rsid w:val="007D3B28"/>
    <w:rsid w:val="007D482C"/>
    <w:rsid w:val="00807EE3"/>
    <w:rsid w:val="00830024"/>
    <w:rsid w:val="0083317D"/>
    <w:rsid w:val="008453AA"/>
    <w:rsid w:val="0084641E"/>
    <w:rsid w:val="008740BB"/>
    <w:rsid w:val="00875F13"/>
    <w:rsid w:val="008B7FA4"/>
    <w:rsid w:val="009504CA"/>
    <w:rsid w:val="00953416"/>
    <w:rsid w:val="0096185A"/>
    <w:rsid w:val="009665D2"/>
    <w:rsid w:val="009939A6"/>
    <w:rsid w:val="009A3572"/>
    <w:rsid w:val="009B3BEC"/>
    <w:rsid w:val="009D3C37"/>
    <w:rsid w:val="009D3F3E"/>
    <w:rsid w:val="009E4440"/>
    <w:rsid w:val="00A01FB1"/>
    <w:rsid w:val="00A148EA"/>
    <w:rsid w:val="00A348B3"/>
    <w:rsid w:val="00A63103"/>
    <w:rsid w:val="00AA4C71"/>
    <w:rsid w:val="00AA615C"/>
    <w:rsid w:val="00AC3FD9"/>
    <w:rsid w:val="00AC4448"/>
    <w:rsid w:val="00AF01E1"/>
    <w:rsid w:val="00AF06C5"/>
    <w:rsid w:val="00B10F23"/>
    <w:rsid w:val="00B40B43"/>
    <w:rsid w:val="00B6061F"/>
    <w:rsid w:val="00B66BCF"/>
    <w:rsid w:val="00B7396D"/>
    <w:rsid w:val="00B9501E"/>
    <w:rsid w:val="00C01097"/>
    <w:rsid w:val="00C55431"/>
    <w:rsid w:val="00C9628E"/>
    <w:rsid w:val="00CC4FF8"/>
    <w:rsid w:val="00CE6C6A"/>
    <w:rsid w:val="00D41690"/>
    <w:rsid w:val="00D47644"/>
    <w:rsid w:val="00D71FC7"/>
    <w:rsid w:val="00D8041D"/>
    <w:rsid w:val="00DA165B"/>
    <w:rsid w:val="00DA383C"/>
    <w:rsid w:val="00DA5AF3"/>
    <w:rsid w:val="00DE4115"/>
    <w:rsid w:val="00DF1070"/>
    <w:rsid w:val="00DF3CC4"/>
    <w:rsid w:val="00E5162D"/>
    <w:rsid w:val="00E57495"/>
    <w:rsid w:val="00E8247B"/>
    <w:rsid w:val="00EA116D"/>
    <w:rsid w:val="00EA5F99"/>
    <w:rsid w:val="00EB3426"/>
    <w:rsid w:val="00EC2502"/>
    <w:rsid w:val="00F010ED"/>
    <w:rsid w:val="00F01D93"/>
    <w:rsid w:val="00F074FD"/>
    <w:rsid w:val="00F07C63"/>
    <w:rsid w:val="00F33CBC"/>
    <w:rsid w:val="00F355DE"/>
    <w:rsid w:val="00F43BD5"/>
    <w:rsid w:val="00F43E0C"/>
    <w:rsid w:val="00F51D8F"/>
    <w:rsid w:val="00F90122"/>
    <w:rsid w:val="00FD0C0C"/>
    <w:rsid w:val="00FF021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4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41D"/>
    <w:rPr>
      <w:lang w:val="en-US"/>
    </w:rPr>
  </w:style>
  <w:style w:type="paragraph" w:styleId="Footer">
    <w:name w:val="footer"/>
    <w:basedOn w:val="Normal"/>
    <w:link w:val="FooterChar"/>
    <w:uiPriority w:val="99"/>
    <w:unhideWhenUsed/>
    <w:rsid w:val="00D804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41D"/>
    <w:rPr>
      <w:lang w:val="en-US"/>
    </w:rPr>
  </w:style>
  <w:style w:type="paragraph" w:styleId="ListParagraph">
    <w:name w:val="List Paragraph"/>
    <w:basedOn w:val="Normal"/>
    <w:uiPriority w:val="34"/>
    <w:qFormat/>
    <w:rsid w:val="00FF021B"/>
    <w:pPr>
      <w:ind w:left="720"/>
      <w:contextualSpacing/>
    </w:pPr>
  </w:style>
  <w:style w:type="character" w:customStyle="1" w:styleId="t">
    <w:name w:val="t"/>
    <w:basedOn w:val="DefaultParagraphFont"/>
    <w:rsid w:val="008B7FA4"/>
  </w:style>
  <w:style w:type="character" w:styleId="Hyperlink">
    <w:name w:val="Hyperlink"/>
    <w:basedOn w:val="DefaultParagraphFont"/>
    <w:uiPriority w:val="99"/>
    <w:semiHidden/>
    <w:unhideWhenUsed/>
    <w:rsid w:val="0069277D"/>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8041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8041D"/>
    <w:rPr>
      <w:lang w:val="en-US"/>
    </w:rPr>
  </w:style>
  <w:style w:type="paragraph" w:styleId="Footer">
    <w:name w:val="footer"/>
    <w:basedOn w:val="Normal"/>
    <w:link w:val="FooterChar"/>
    <w:uiPriority w:val="99"/>
    <w:unhideWhenUsed/>
    <w:rsid w:val="00D8041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041D"/>
    <w:rPr>
      <w:lang w:val="en-US"/>
    </w:rPr>
  </w:style>
  <w:style w:type="paragraph" w:styleId="ListParagraph">
    <w:name w:val="List Paragraph"/>
    <w:basedOn w:val="Normal"/>
    <w:uiPriority w:val="34"/>
    <w:qFormat/>
    <w:rsid w:val="00FF021B"/>
    <w:pPr>
      <w:ind w:left="720"/>
      <w:contextualSpacing/>
    </w:pPr>
  </w:style>
  <w:style w:type="character" w:customStyle="1" w:styleId="t">
    <w:name w:val="t"/>
    <w:basedOn w:val="DefaultParagraphFont"/>
    <w:rsid w:val="008B7FA4"/>
  </w:style>
  <w:style w:type="character" w:styleId="Hyperlink">
    <w:name w:val="Hyperlink"/>
    <w:basedOn w:val="DefaultParagraphFont"/>
    <w:uiPriority w:val="99"/>
    <w:semiHidden/>
    <w:unhideWhenUsed/>
    <w:rsid w:val="0069277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1810980">
      <w:bodyDiv w:val="1"/>
      <w:marLeft w:val="0"/>
      <w:marRight w:val="0"/>
      <w:marTop w:val="0"/>
      <w:marBottom w:val="0"/>
      <w:divBdr>
        <w:top w:val="none" w:sz="0" w:space="0" w:color="auto"/>
        <w:left w:val="none" w:sz="0" w:space="0" w:color="auto"/>
        <w:bottom w:val="none" w:sz="0" w:space="0" w:color="auto"/>
        <w:right w:val="none" w:sz="0" w:space="0" w:color="auto"/>
      </w:divBdr>
      <w:divsChild>
        <w:div w:id="1110272085">
          <w:marLeft w:val="0"/>
          <w:marRight w:val="0"/>
          <w:marTop w:val="180"/>
          <w:marBottom w:val="270"/>
          <w:divBdr>
            <w:top w:val="single" w:sz="6" w:space="0" w:color="E3E3E3"/>
            <w:left w:val="single" w:sz="6" w:space="0" w:color="E3E3E3"/>
            <w:bottom w:val="single" w:sz="6" w:space="0" w:color="E3E3E3"/>
            <w:right w:val="single" w:sz="6" w:space="0" w:color="E3E3E3"/>
          </w:divBdr>
          <w:divsChild>
            <w:div w:id="1225602090">
              <w:marLeft w:val="0"/>
              <w:marRight w:val="0"/>
              <w:marTop w:val="0"/>
              <w:marBottom w:val="0"/>
              <w:divBdr>
                <w:top w:val="none" w:sz="0" w:space="0" w:color="auto"/>
                <w:left w:val="none" w:sz="0" w:space="0" w:color="auto"/>
                <w:bottom w:val="none" w:sz="0" w:space="0" w:color="auto"/>
                <w:right w:val="none" w:sz="0" w:space="0" w:color="auto"/>
              </w:divBdr>
              <w:divsChild>
                <w:div w:id="16197201">
                  <w:marLeft w:val="0"/>
                  <w:marRight w:val="0"/>
                  <w:marTop w:val="0"/>
                  <w:marBottom w:val="0"/>
                  <w:divBdr>
                    <w:top w:val="none" w:sz="0" w:space="0" w:color="auto"/>
                    <w:left w:val="none" w:sz="0" w:space="0" w:color="auto"/>
                    <w:bottom w:val="none" w:sz="0" w:space="0" w:color="auto"/>
                    <w:right w:val="none" w:sz="0" w:space="0" w:color="auto"/>
                  </w:divBdr>
                </w:div>
                <w:div w:id="2016418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galandcompliance.com/securities-resources/securities-glossary/howey-test-to-determine-if-an-investment-is-a-security/"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nvestorguide.com/article/11714/initial-public-offerings-how-they-affect-companies-and-investors-igu/" TargetMode="External"/><Relationship Id="rId4" Type="http://schemas.openxmlformats.org/officeDocument/2006/relationships/settings" Target="settings.xml"/><Relationship Id="rId9" Type="http://schemas.openxmlformats.org/officeDocument/2006/relationships/hyperlink" Target="https://www.inc.com/articles/1999/11/15750.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1001</Words>
  <Characters>5711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2019-04-16T10:54:00Z</dcterms:created>
  <dcterms:modified xsi:type="dcterms:W3CDTF">2019-04-16T10:54:00Z</dcterms:modified>
</cp:coreProperties>
</file>